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CAE43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 xml:space="preserve">Serviço de Finanças de </w:t>
      </w:r>
      <w:r>
        <w:rPr>
          <w:rFonts w:ascii="Sylfaen" w:hAnsi="Sylfaen"/>
          <w:b/>
          <w:sz w:val="22"/>
          <w:szCs w:val="22"/>
          <w:shd w:val="clear" w:color="auto" w:fill="FFFF99"/>
        </w:rPr>
        <w:t>[…]</w:t>
      </w:r>
    </w:p>
    <w:p w14:paraId="10961FF4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Processo n.º […]</w:t>
      </w:r>
    </w:p>
    <w:p w14:paraId="6A547E6C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4682EA92" w14:textId="77777777" w:rsidR="00E63D99" w:rsidRDefault="00E63D99" w:rsidP="00E63D99">
      <w:pPr>
        <w:spacing w:line="276" w:lineRule="auto"/>
        <w:ind w:left="4248"/>
        <w:contextualSpacing/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 xml:space="preserve">     </w:t>
      </w:r>
      <w:r>
        <w:rPr>
          <w:rFonts w:ascii="Sylfaen" w:hAnsi="Sylfaen"/>
          <w:b/>
          <w:sz w:val="22"/>
          <w:szCs w:val="22"/>
        </w:rPr>
        <w:tab/>
        <w:t xml:space="preserve">Exmo. Senhor </w:t>
      </w:r>
    </w:p>
    <w:p w14:paraId="276DCE1D" w14:textId="77777777" w:rsidR="00E63D99" w:rsidRDefault="00E63D99" w:rsidP="00E63D99">
      <w:pPr>
        <w:spacing w:line="276" w:lineRule="auto"/>
        <w:ind w:left="4248"/>
        <w:contextualSpacing/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ab/>
        <w:t>Chefe de Finanças</w:t>
      </w:r>
    </w:p>
    <w:p w14:paraId="3A88F7AA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33921963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06E4C2A2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[</w:t>
      </w:r>
      <w:r>
        <w:rPr>
          <w:rFonts w:ascii="Sylfaen" w:hAnsi="Sylfaen"/>
          <w:b/>
          <w:sz w:val="22"/>
          <w:szCs w:val="22"/>
          <w:highlight w:val="yellow"/>
        </w:rPr>
        <w:t>…</w:t>
      </w:r>
      <w:r>
        <w:rPr>
          <w:rFonts w:ascii="Sylfaen" w:hAnsi="Sylfaen"/>
          <w:sz w:val="22"/>
          <w:szCs w:val="22"/>
        </w:rPr>
        <w:t>], contribuinte identificado pelo NIPC [</w:t>
      </w:r>
      <w:r>
        <w:rPr>
          <w:rFonts w:ascii="Sylfaen" w:hAnsi="Sylfaen"/>
          <w:b/>
          <w:sz w:val="22"/>
          <w:szCs w:val="22"/>
          <w:highlight w:val="yellow"/>
        </w:rPr>
        <w:t>…</w:t>
      </w:r>
      <w:r>
        <w:rPr>
          <w:rFonts w:ascii="Sylfaen" w:hAnsi="Sylfaen"/>
          <w:sz w:val="22"/>
          <w:szCs w:val="22"/>
        </w:rPr>
        <w:t>], com sede em [</w:t>
      </w:r>
      <w:r>
        <w:rPr>
          <w:rFonts w:ascii="Sylfaen" w:hAnsi="Sylfaen"/>
          <w:b/>
          <w:sz w:val="22"/>
          <w:szCs w:val="22"/>
          <w:highlight w:val="yellow"/>
        </w:rPr>
        <w:t>…</w:t>
      </w:r>
      <w:r>
        <w:rPr>
          <w:rFonts w:ascii="Sylfaen" w:hAnsi="Sylfaen"/>
          <w:sz w:val="22"/>
          <w:szCs w:val="22"/>
        </w:rPr>
        <w:t xml:space="preserve">], notificada no processo à margem referenciado, para apresentação de defesa ou pagamento antecipado da coima nos termos do n.º 1 do art.º </w:t>
      </w:r>
      <w:r>
        <w:rPr>
          <w:rFonts w:ascii="Sylfaen" w:hAnsi="Sylfaen"/>
          <w:i/>
          <w:sz w:val="22"/>
          <w:szCs w:val="22"/>
        </w:rPr>
        <w:t xml:space="preserve">70º do Regime Geral das Infrações Tributárias (doravante, RGIT), </w:t>
      </w:r>
      <w:r>
        <w:rPr>
          <w:rFonts w:ascii="Sylfaen" w:hAnsi="Sylfaen"/>
          <w:sz w:val="22"/>
          <w:szCs w:val="22"/>
        </w:rPr>
        <w:t xml:space="preserve">vem, através deste meio, apresentar a sua </w:t>
      </w:r>
    </w:p>
    <w:p w14:paraId="110B8843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027729CA" w14:textId="77777777" w:rsidR="00E63D99" w:rsidRDefault="00E63D99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DEFESA</w:t>
      </w:r>
    </w:p>
    <w:p w14:paraId="308AEDBF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</w:rPr>
      </w:pPr>
    </w:p>
    <w:p w14:paraId="5CCF772D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o que faz nos termos e com os fundamentos seguintes:</w:t>
      </w:r>
    </w:p>
    <w:p w14:paraId="1E1BF26F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</w:rPr>
      </w:pPr>
    </w:p>
    <w:p w14:paraId="3130542F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 xml:space="preserve">I – DOS FACTOS </w:t>
      </w:r>
    </w:p>
    <w:p w14:paraId="261A49F8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59948017" w14:textId="77777777" w:rsidR="00E63D99" w:rsidRDefault="00E63D99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1.º</w:t>
      </w:r>
    </w:p>
    <w:p w14:paraId="3102D9C2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Considerando os efeitos da pandemia do COVID-19 na economia do País, das empresas e das famílias, e a situação de emergência, e posterior estado de calamidade decretados pelo Governo, bem como o conjunto de medidas de apoio às famílias e empresas anunciadas pelo Executivo para mitigar tais efeitos, o senhor Secretário de Estado dos Assuntos Fiscais emitiu vários despachos com vista a flexibilizar o cumprimento atempado de obrigações fiscais, visando reforçar o princípio de colaboração mútua e os mecanismos facilitadores do cumprimento voluntário de obrigações, nomeadamente, em matéria de cumprimento de obrigações declarativas de IVA.</w:t>
      </w:r>
    </w:p>
    <w:p w14:paraId="5568B46D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2CDEA858" w14:textId="77777777" w:rsidR="00E63D99" w:rsidRDefault="00E63D99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2.º</w:t>
      </w:r>
    </w:p>
    <w:p w14:paraId="74ECFD46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Neste sentido, o Despacho n.º 153/2020-XXII, de 24/04, do Secretário de Estado dos Assuntos Fiscais (doravante, SEAF), à semelhança do procedimento de entrega de declarações periódicas de IVA, e respetivo pagamento, já previsto no Despacho n. º 141/2020-XXII, de 06/04, veio determinar que, a entrega do imposto exigível resultante das declarações periódicas pudesse ser efetuado </w:t>
      </w:r>
      <w:r>
        <w:rPr>
          <w:rFonts w:ascii="Sylfaen" w:hAnsi="Sylfaen"/>
          <w:b/>
          <w:sz w:val="22"/>
          <w:szCs w:val="22"/>
          <w:u w:val="single"/>
        </w:rPr>
        <w:t>até dia 25 de cada mês</w:t>
      </w:r>
      <w:r>
        <w:rPr>
          <w:rFonts w:ascii="Sylfaen" w:hAnsi="Sylfaen"/>
          <w:sz w:val="22"/>
          <w:szCs w:val="22"/>
        </w:rPr>
        <w:t>, sem prejuízo de adesão a regime de pagamento em prestações que seja aplicável, ao invés do anteriormente determinado dia 20.</w:t>
      </w:r>
    </w:p>
    <w:p w14:paraId="42BD674E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7731055B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Ora,</w:t>
      </w:r>
    </w:p>
    <w:p w14:paraId="2EA77516" w14:textId="77777777" w:rsidR="00E63D99" w:rsidRDefault="00E63D99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3.º</w:t>
      </w:r>
    </w:p>
    <w:p w14:paraId="69439EBD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Estes despachos, ainda que de sobeja e vital importância, num período de exceção, no sentido de ajustar o calendário do cumprimento das obrigações declarativas de forma a não comprometer o cumprimento voluntário destas obrigações, </w:t>
      </w:r>
      <w:r>
        <w:rPr>
          <w:rFonts w:ascii="Sylfaen" w:hAnsi="Sylfaen"/>
          <w:b/>
          <w:sz w:val="22"/>
          <w:szCs w:val="22"/>
        </w:rPr>
        <w:t xml:space="preserve">aliados à ocorrência de um elevado </w:t>
      </w:r>
      <w:r>
        <w:rPr>
          <w:rFonts w:ascii="Sylfaen" w:hAnsi="Sylfaen"/>
          <w:b/>
          <w:sz w:val="22"/>
          <w:szCs w:val="22"/>
        </w:rPr>
        <w:lastRenderedPageBreak/>
        <w:t>número de obrigações declarativas concentradas neste período</w:t>
      </w:r>
      <w:r>
        <w:rPr>
          <w:rFonts w:ascii="Sylfaen" w:hAnsi="Sylfaen"/>
          <w:sz w:val="22"/>
          <w:szCs w:val="22"/>
        </w:rPr>
        <w:t xml:space="preserve"> (IRS, retenções na fonte de IRS e IRC, IVA), </w:t>
      </w:r>
    </w:p>
    <w:p w14:paraId="622D9904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0A541EED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  <w:u w:val="single"/>
        </w:rPr>
      </w:pPr>
      <w:r>
        <w:rPr>
          <w:rFonts w:ascii="Sylfaen" w:hAnsi="Sylfaen"/>
          <w:b/>
          <w:sz w:val="22"/>
          <w:szCs w:val="22"/>
          <w:u w:val="single"/>
        </w:rPr>
        <w:t>E ainda,</w:t>
      </w:r>
    </w:p>
    <w:p w14:paraId="58330FDC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39F459BE" w14:textId="77777777" w:rsidR="00E63D99" w:rsidRDefault="00E63D99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4.º</w:t>
      </w:r>
    </w:p>
    <w:p w14:paraId="6E239A4C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  <w:u w:val="single"/>
        </w:rPr>
      </w:pPr>
      <w:r>
        <w:rPr>
          <w:rFonts w:ascii="Sylfaen" w:hAnsi="Sylfaen"/>
          <w:sz w:val="22"/>
          <w:szCs w:val="22"/>
        </w:rPr>
        <w:t xml:space="preserve">O volume de trabalho anormalmente elevado para os contabilistas certificados, para este período excecional, motivado pelas contingências na submissão e deferimento dos pedidos de apoio à manutenção dos contratos de trabalho, apoios extraordinários à redução de atividade, apoios à família, apoio a membros de órgão estatutário, candidaturas a financiamentos e outros programas aprovados pelo Governo para apoio às empresas, </w:t>
      </w:r>
      <w:r>
        <w:rPr>
          <w:rFonts w:ascii="Sylfaen" w:hAnsi="Sylfaen"/>
          <w:b/>
          <w:sz w:val="22"/>
          <w:szCs w:val="22"/>
          <w:u w:val="single"/>
        </w:rPr>
        <w:t>determinou confusão quanto ao prazo de submissão da declaração de IVA, no mês de abril, que seria de dia 17, com o dia do pagamento da prestação tributária que seria de 25.</w:t>
      </w:r>
    </w:p>
    <w:p w14:paraId="66E3525D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39DBA442" w14:textId="77777777" w:rsidR="00E63D99" w:rsidRDefault="00E63D99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5.º</w:t>
      </w:r>
    </w:p>
    <w:p w14:paraId="3A395616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Assim, e em consequência, a empresa signatária apenas submeteu a declaração de IVA no dia [</w:t>
      </w:r>
      <w:r>
        <w:rPr>
          <w:rFonts w:ascii="Sylfaen" w:hAnsi="Sylfaen"/>
          <w:sz w:val="22"/>
          <w:szCs w:val="22"/>
          <w:highlight w:val="yellow"/>
        </w:rPr>
        <w:t>…</w:t>
      </w:r>
      <w:r>
        <w:rPr>
          <w:rFonts w:ascii="Sylfaen" w:hAnsi="Sylfaen"/>
          <w:sz w:val="22"/>
          <w:szCs w:val="22"/>
        </w:rPr>
        <w:t>], conforme cópia que se junta como DOC.1 e cujo teor se considera reproduzido para todos os efeitos legais.</w:t>
      </w:r>
    </w:p>
    <w:p w14:paraId="44A8693A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</w:rPr>
      </w:pPr>
    </w:p>
    <w:p w14:paraId="0BD9AABE" w14:textId="77777777" w:rsidR="00E63D99" w:rsidRDefault="00E63D99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6.º</w:t>
      </w:r>
    </w:p>
    <w:p w14:paraId="3877F83E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Não obstante, </w:t>
      </w:r>
      <w:r>
        <w:rPr>
          <w:rFonts w:ascii="Sylfaen" w:hAnsi="Sylfaen"/>
          <w:b/>
          <w:sz w:val="22"/>
          <w:szCs w:val="22"/>
        </w:rPr>
        <w:t>efetuou o pagamento da prestação tributária devida</w:t>
      </w:r>
      <w:r>
        <w:rPr>
          <w:rFonts w:ascii="Sylfaen" w:hAnsi="Sylfaen"/>
          <w:sz w:val="22"/>
          <w:szCs w:val="22"/>
        </w:rPr>
        <w:t>, a saber, no dia [</w:t>
      </w:r>
      <w:r>
        <w:rPr>
          <w:rFonts w:ascii="Sylfaen" w:hAnsi="Sylfaen"/>
          <w:b/>
          <w:sz w:val="22"/>
          <w:szCs w:val="22"/>
          <w:highlight w:val="yellow"/>
        </w:rPr>
        <w:t>…</w:t>
      </w:r>
      <w:r>
        <w:rPr>
          <w:rFonts w:ascii="Sylfaen" w:hAnsi="Sylfaen"/>
          <w:sz w:val="22"/>
          <w:szCs w:val="22"/>
        </w:rPr>
        <w:t xml:space="preserve">], </w:t>
      </w:r>
      <w:r>
        <w:rPr>
          <w:rFonts w:ascii="Sylfaen" w:hAnsi="Sylfaen"/>
          <w:b/>
          <w:sz w:val="22"/>
          <w:szCs w:val="22"/>
          <w:u w:val="single"/>
        </w:rPr>
        <w:t>dentro do prazo legal concedido para o efeito</w:t>
      </w:r>
      <w:r>
        <w:rPr>
          <w:rFonts w:ascii="Sylfaen" w:hAnsi="Sylfaen"/>
          <w:sz w:val="22"/>
          <w:szCs w:val="22"/>
        </w:rPr>
        <w:t xml:space="preserve">, conforme comprovativo cuja cópia se junta como DOC.2 e cujo teor se considera reproduzido para todos os efeitos legais. </w:t>
      </w:r>
    </w:p>
    <w:p w14:paraId="6D7B255B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</w:rPr>
      </w:pPr>
    </w:p>
    <w:p w14:paraId="28551529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II – DO DIREITO</w:t>
      </w:r>
    </w:p>
    <w:p w14:paraId="63199E88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</w:rPr>
      </w:pPr>
    </w:p>
    <w:p w14:paraId="68E3C309" w14:textId="77777777" w:rsidR="00E63D99" w:rsidRDefault="00E63D99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7.º</w:t>
      </w:r>
    </w:p>
    <w:p w14:paraId="04BE253D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Todos os sujeitos passivos de Imposto sobre o Valor Acrescentado referidos na alínea a) do n.º 1 do art.º 2.º do Código do IVA devem enviar mensalmente uma declaração relativa às operações efetuadas no exercício da sua atividade no decurso do segundo mês precedente, com a indicação do imposto devido ou do crédito existente e dos elementos que serviram de base ao respetivo cálculo (al. c) do n.º 1 do art.º 29.º do CIVA).</w:t>
      </w:r>
    </w:p>
    <w:p w14:paraId="0DA73708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</w:rPr>
      </w:pPr>
    </w:p>
    <w:p w14:paraId="62F6E547" w14:textId="77777777" w:rsidR="00E63D99" w:rsidRDefault="00E63D99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8.º</w:t>
      </w:r>
    </w:p>
    <w:p w14:paraId="34C6B78D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As declarações periódicas de IVA, a entregar nos termos do prazo legal previsto no n.º 1 do artigo 41.º do CIVA, referentes ao período de março de 2020, do regime mensal, e ao período de janeiro a março de 2020, do regime trimestral, ocorrem normalmente até ao dia 10 do 2.º mês seguinte àquele a que respeitam as operações, no caso de sujeitos passivos com um volume de negócios igual ou superior a (euro) 650 000 no ano civil anterior, ou até ao dia 15 do 2.º mês seguinte ao trimestre do ano civil a que respeitam as operações, no caso de sujeitos passivos com um volume de negócios inferior a (euro) 650 000 no ano civil anterior.</w:t>
      </w:r>
    </w:p>
    <w:p w14:paraId="467C5F22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</w:rPr>
      </w:pPr>
    </w:p>
    <w:p w14:paraId="2C5A7D0F" w14:textId="77777777" w:rsidR="00E63D99" w:rsidRDefault="00E63D99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lastRenderedPageBreak/>
        <w:t>9.º</w:t>
      </w:r>
    </w:p>
    <w:p w14:paraId="267C7CE5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A falta de declarações que para efeitos fiscais devem ser apresentadas a fim de que a administração tributária especificamente determine, avalie ou comprove a matéria coletável, nos termos dos artigos 116.º n.ºs 1 e 26.º, n.º 4 do RGIT, é punida com coima aplicável ao sujeito passivo.</w:t>
      </w:r>
    </w:p>
    <w:p w14:paraId="10D02BDF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</w:rPr>
      </w:pPr>
    </w:p>
    <w:p w14:paraId="1D2FB2DA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III – DO PEDIDO DE DISPENSA DA COIMA</w:t>
      </w:r>
    </w:p>
    <w:p w14:paraId="49ED0872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2569E08C" w14:textId="77777777" w:rsidR="00E63D99" w:rsidRDefault="00E63D99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10.º</w:t>
      </w:r>
    </w:p>
    <w:p w14:paraId="69D81A3F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  <w:u w:val="single"/>
        </w:rPr>
      </w:pPr>
      <w:r>
        <w:rPr>
          <w:rFonts w:ascii="Sylfaen" w:hAnsi="Sylfaen"/>
          <w:sz w:val="22"/>
          <w:szCs w:val="22"/>
        </w:rPr>
        <w:t xml:space="preserve">A empresa arguida </w:t>
      </w:r>
      <w:r>
        <w:rPr>
          <w:rFonts w:ascii="Sylfaen" w:hAnsi="Sylfaen"/>
          <w:b/>
          <w:sz w:val="22"/>
          <w:szCs w:val="22"/>
          <w:u w:val="single"/>
        </w:rPr>
        <w:t>vem expressamente requerer a dispensa da coima</w:t>
      </w:r>
      <w:r>
        <w:rPr>
          <w:rFonts w:ascii="Sylfaen" w:hAnsi="Sylfaen"/>
          <w:sz w:val="22"/>
          <w:szCs w:val="22"/>
        </w:rPr>
        <w:t xml:space="preserve"> aplicada no presente processo por se verificarem preenchidas as circunstâncias cumulativas que determinam o seu afastamento, </w:t>
      </w:r>
      <w:r>
        <w:rPr>
          <w:rFonts w:ascii="Sylfaen" w:hAnsi="Sylfaen"/>
          <w:b/>
          <w:sz w:val="22"/>
          <w:szCs w:val="22"/>
          <w:u w:val="single"/>
        </w:rPr>
        <w:t>nos termos do n.º 1 do art.º 32.º do RGIT.</w:t>
      </w:r>
    </w:p>
    <w:p w14:paraId="2273D65A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50F31103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Vejamos,</w:t>
      </w:r>
    </w:p>
    <w:p w14:paraId="17E08386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1B226095" w14:textId="77777777" w:rsidR="00E63D99" w:rsidRDefault="00E63D99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11.º</w:t>
      </w:r>
    </w:p>
    <w:p w14:paraId="10DFF0C0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i/>
          <w:sz w:val="22"/>
          <w:szCs w:val="22"/>
        </w:rPr>
      </w:pPr>
      <w:r>
        <w:rPr>
          <w:rFonts w:ascii="Sylfaen" w:hAnsi="Sylfaen"/>
          <w:b/>
          <w:i/>
          <w:sz w:val="22"/>
          <w:szCs w:val="22"/>
        </w:rPr>
        <w:t xml:space="preserve">“a) A prática da </w:t>
      </w:r>
      <w:proofErr w:type="spellStart"/>
      <w:r>
        <w:rPr>
          <w:rFonts w:ascii="Sylfaen" w:hAnsi="Sylfaen"/>
          <w:b/>
          <w:i/>
          <w:sz w:val="22"/>
          <w:szCs w:val="22"/>
        </w:rPr>
        <w:t>infracção</w:t>
      </w:r>
      <w:proofErr w:type="spellEnd"/>
      <w:r>
        <w:rPr>
          <w:rFonts w:ascii="Sylfaen" w:hAnsi="Sylfaen"/>
          <w:b/>
          <w:i/>
          <w:sz w:val="22"/>
          <w:szCs w:val="22"/>
        </w:rPr>
        <w:t xml:space="preserve"> não ocasione prejuízo </w:t>
      </w:r>
      <w:proofErr w:type="spellStart"/>
      <w:r>
        <w:rPr>
          <w:rFonts w:ascii="Sylfaen" w:hAnsi="Sylfaen"/>
          <w:b/>
          <w:i/>
          <w:sz w:val="22"/>
          <w:szCs w:val="22"/>
        </w:rPr>
        <w:t>efectivo</w:t>
      </w:r>
      <w:proofErr w:type="spellEnd"/>
      <w:r>
        <w:rPr>
          <w:rFonts w:ascii="Sylfaen" w:hAnsi="Sylfaen"/>
          <w:b/>
          <w:i/>
          <w:sz w:val="22"/>
          <w:szCs w:val="22"/>
        </w:rPr>
        <w:t xml:space="preserve"> à receita tributária;”</w:t>
      </w:r>
    </w:p>
    <w:p w14:paraId="7A23A733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A prestação tributária determinada pela declaração de IVA entregue fora do prazo, foi paga dentro do prazo legal concedido para o efeito, conforme se demonstra claramente pelos documentos juntos ao presente processo, e cujo conhecimento a Administração Tributária também tem conhecimento direto. O montante a entregar ao Estado já se encontra na sua posse, pelo que, concretamente, não existe qualquer prejuízo efetivo à receita tributária, não chegando a produzir-se prejuízo, antes de ocorrer a regularização.</w:t>
      </w:r>
    </w:p>
    <w:p w14:paraId="44D24B3C" w14:textId="77777777" w:rsidR="00E63D99" w:rsidRDefault="00E63D99" w:rsidP="00E63D99">
      <w:pPr>
        <w:spacing w:line="276" w:lineRule="auto"/>
        <w:jc w:val="both"/>
        <w:rPr>
          <w:rFonts w:ascii="Sylfaen" w:hAnsi="Sylfaen"/>
          <w:i/>
          <w:sz w:val="22"/>
          <w:szCs w:val="22"/>
        </w:rPr>
      </w:pPr>
    </w:p>
    <w:p w14:paraId="529D1270" w14:textId="77777777" w:rsidR="00E63D99" w:rsidRDefault="00E63D99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12.º</w:t>
      </w:r>
    </w:p>
    <w:p w14:paraId="6ED94420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i/>
          <w:sz w:val="22"/>
          <w:szCs w:val="22"/>
        </w:rPr>
      </w:pPr>
      <w:r>
        <w:rPr>
          <w:rFonts w:ascii="Sylfaen" w:hAnsi="Sylfaen"/>
          <w:b/>
          <w:i/>
          <w:sz w:val="22"/>
          <w:szCs w:val="22"/>
        </w:rPr>
        <w:t>“b) Estar regularizada a falta cometida;”</w:t>
      </w:r>
    </w:p>
    <w:p w14:paraId="20177FFB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A infração cometida pela empresa arguida ficou regularizada no momento em que a mesma procedeu à entrega da declaração de IVA em falta, em momento anterior a qualquer notificação por parte da Autoridade Tributária, conforme se demonstra claramente pelos documentos juntos ao presente processo, e cujo conhecimento a Administração Tributária também tem conhecimento direto.</w:t>
      </w:r>
    </w:p>
    <w:p w14:paraId="40957981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416321FB" w14:textId="77777777" w:rsidR="00E63D99" w:rsidRDefault="00E63D99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13.º</w:t>
      </w:r>
    </w:p>
    <w:p w14:paraId="131B650A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i/>
          <w:sz w:val="22"/>
          <w:szCs w:val="22"/>
        </w:rPr>
      </w:pPr>
      <w:r>
        <w:rPr>
          <w:rFonts w:ascii="Sylfaen" w:hAnsi="Sylfaen"/>
          <w:b/>
          <w:i/>
          <w:sz w:val="22"/>
          <w:szCs w:val="22"/>
        </w:rPr>
        <w:t>“c) A falta revelar um diminuto grau de culpa.”</w:t>
      </w:r>
    </w:p>
    <w:p w14:paraId="1CFFF5B8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A infração foi cometida de forma incidental, por imprudência, ou mesmo, no limite, negligência, sem consciência da ilicitude do facto, pois confundiu o prazo de pagamento, com o prazo de entrega da declaração de IVA.</w:t>
      </w:r>
    </w:p>
    <w:p w14:paraId="22825974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No entanto, considera que cumpriu com os deveres de cuidado e de zelo que lhe eram exigíveis, e atuou no sentido de cumprir, voluntariamente, com a regularização da situação assim que a detetou.</w:t>
      </w:r>
    </w:p>
    <w:p w14:paraId="7DAE8729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2B842FCC" w14:textId="77777777" w:rsidR="00E63D99" w:rsidRDefault="00E63D99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14.º</w:t>
      </w:r>
    </w:p>
    <w:p w14:paraId="092A815A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lastRenderedPageBreak/>
        <w:t>De salientar, que a doutrina distingue tradicionalmente na culpa dois graus:</w:t>
      </w:r>
    </w:p>
    <w:p w14:paraId="3EB0FDD0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- a culpa consciente (o agente prevê a possibilidade do resultado ilícito, mas age para alcançar um fim lícito, na esperança temerária de que aquele não se produza) e</w:t>
      </w:r>
    </w:p>
    <w:p w14:paraId="2705DD2B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- a culpa inconsciente (o agente não previu o resultado ilícito, mas este era objetivamente previsível, usando a diligência exigível), </w:t>
      </w:r>
      <w:r>
        <w:rPr>
          <w:rFonts w:ascii="Sylfaen" w:hAnsi="Sylfaen"/>
          <w:b/>
          <w:sz w:val="22"/>
          <w:szCs w:val="22"/>
        </w:rPr>
        <w:t>sendo esta última</w:t>
      </w:r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aclaramente</w:t>
      </w:r>
      <w:proofErr w:type="spellEnd"/>
      <w:r>
        <w:rPr>
          <w:rFonts w:ascii="Sylfaen" w:hAnsi="Sylfaen"/>
          <w:sz w:val="22"/>
          <w:szCs w:val="22"/>
        </w:rPr>
        <w:t xml:space="preserve"> a aplicável à empresa arguida.</w:t>
      </w:r>
    </w:p>
    <w:p w14:paraId="270294D6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2914A3E5" w14:textId="77777777" w:rsidR="00E63D99" w:rsidRDefault="00E63D99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15.º</w:t>
      </w:r>
    </w:p>
    <w:p w14:paraId="17E04CFA" w14:textId="77777777" w:rsidR="00E63D99" w:rsidRDefault="00E63D99" w:rsidP="00E63D99">
      <w:pPr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Pelo exposto, vem requerer a V. Exa., a dispensa de coima nos termos do disposto no n.º 1 do art.º 32.º do RGIT, por motivo de se verificarem as circunstâncias que permitem o seu afastamento.</w:t>
      </w:r>
    </w:p>
    <w:p w14:paraId="12F5E2EC" w14:textId="77777777" w:rsidR="00E63D99" w:rsidRDefault="00E63D99" w:rsidP="00E63D99">
      <w:pPr>
        <w:spacing w:line="276" w:lineRule="auto"/>
        <w:jc w:val="both"/>
        <w:rPr>
          <w:rFonts w:ascii="Sylfaen" w:hAnsi="Sylfaen"/>
          <w:i/>
          <w:sz w:val="22"/>
          <w:szCs w:val="22"/>
        </w:rPr>
      </w:pPr>
    </w:p>
    <w:p w14:paraId="7E0F31E0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  <w:u w:val="single"/>
        </w:rPr>
      </w:pPr>
      <w:r>
        <w:rPr>
          <w:rFonts w:ascii="Sylfaen" w:hAnsi="Sylfaen"/>
          <w:b/>
          <w:sz w:val="22"/>
          <w:szCs w:val="22"/>
          <w:u w:val="single"/>
        </w:rPr>
        <w:t>Por mera cautela, e sem conceder,</w:t>
      </w:r>
    </w:p>
    <w:p w14:paraId="27F95CC8" w14:textId="77777777" w:rsidR="00E63D99" w:rsidRDefault="00E63D99" w:rsidP="00E63D99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16.º</w:t>
      </w:r>
    </w:p>
    <w:p w14:paraId="2469289E" w14:textId="77777777" w:rsidR="00E63D99" w:rsidRDefault="00E63D99" w:rsidP="00E63D99">
      <w:pPr>
        <w:spacing w:line="276" w:lineRule="auto"/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Caso V. Exa. assim não entenda, vem a empresa arguida requerer, </w:t>
      </w:r>
      <w:r>
        <w:rPr>
          <w:rFonts w:ascii="Sylfaen" w:hAnsi="Sylfaen"/>
          <w:b/>
          <w:sz w:val="22"/>
          <w:szCs w:val="22"/>
        </w:rPr>
        <w:t xml:space="preserve">SUBSIDIARIAMENTE </w:t>
      </w:r>
      <w:r>
        <w:rPr>
          <w:rFonts w:ascii="Sylfaen" w:hAnsi="Sylfaen"/>
          <w:sz w:val="22"/>
          <w:szCs w:val="22"/>
        </w:rPr>
        <w:t>a ATENUAÇÃO ESPECIAL DA COIMA nos termos do n.º 2 do art.º 32.º do RGIT, considerando que a infratora reconheceu a sua responsabilidade, ainda que a título de mera negligência, e regularizou a situação tributária ainda antes da instauração do presente processo de contraordenação, tudo conforme ficou demonstrado pelos documentos juntos ao presente processo.</w:t>
      </w:r>
    </w:p>
    <w:p w14:paraId="71480592" w14:textId="77777777" w:rsidR="00E63D99" w:rsidRDefault="00E63D99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</w:p>
    <w:p w14:paraId="730A9983" w14:textId="77777777" w:rsidR="00E63D99" w:rsidRDefault="00E63D99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Termos em que espera deferimento.</w:t>
      </w:r>
    </w:p>
    <w:p w14:paraId="78B030F2" w14:textId="77777777" w:rsidR="00E63D99" w:rsidRDefault="00E63D99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</w:p>
    <w:p w14:paraId="1A52A595" w14:textId="750ABEEE" w:rsidR="00E63D99" w:rsidRDefault="00E63D99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__________, ____ de ________ </w:t>
      </w:r>
      <w:proofErr w:type="spellStart"/>
      <w:r>
        <w:rPr>
          <w:rFonts w:ascii="Sylfaen" w:hAnsi="Sylfaen"/>
          <w:sz w:val="22"/>
          <w:szCs w:val="22"/>
        </w:rPr>
        <w:t>de</w:t>
      </w:r>
      <w:proofErr w:type="spellEnd"/>
      <w:r w:rsidR="00916697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>2020,</w:t>
      </w:r>
    </w:p>
    <w:p w14:paraId="6FA70DBB" w14:textId="77777777" w:rsidR="00E63D99" w:rsidRDefault="00E63D99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</w:p>
    <w:p w14:paraId="76C6BF82" w14:textId="77777777" w:rsidR="00E63D99" w:rsidRDefault="00E63D99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</w:p>
    <w:p w14:paraId="41ADD2BE" w14:textId="77777777" w:rsidR="00E63D99" w:rsidRDefault="00E63D99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A Gerência (ou Administração, consoante aplicável), </w:t>
      </w:r>
    </w:p>
    <w:p w14:paraId="447A87E2" w14:textId="77777777" w:rsidR="00E63D99" w:rsidRDefault="00E63D99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</w:p>
    <w:p w14:paraId="2BBBC02B" w14:textId="77777777" w:rsidR="00E63D99" w:rsidRDefault="00E63D99" w:rsidP="00E63D99">
      <w:pPr>
        <w:spacing w:line="276" w:lineRule="auto"/>
        <w:ind w:right="44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____________________________________________</w:t>
      </w:r>
    </w:p>
    <w:p w14:paraId="5CC80E02" w14:textId="77777777" w:rsidR="00376449" w:rsidRDefault="00376449"/>
    <w:sectPr w:rsidR="00376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232"/>
    <w:rsid w:val="00022B8B"/>
    <w:rsid w:val="00084707"/>
    <w:rsid w:val="00085A77"/>
    <w:rsid w:val="000A563C"/>
    <w:rsid w:val="000E6FAD"/>
    <w:rsid w:val="001B3232"/>
    <w:rsid w:val="002F396D"/>
    <w:rsid w:val="00376449"/>
    <w:rsid w:val="003C2B31"/>
    <w:rsid w:val="004E70D5"/>
    <w:rsid w:val="00536504"/>
    <w:rsid w:val="00541B83"/>
    <w:rsid w:val="00723383"/>
    <w:rsid w:val="00734890"/>
    <w:rsid w:val="00805C62"/>
    <w:rsid w:val="008440E7"/>
    <w:rsid w:val="008747D7"/>
    <w:rsid w:val="00884D96"/>
    <w:rsid w:val="009142D7"/>
    <w:rsid w:val="00916697"/>
    <w:rsid w:val="009710D3"/>
    <w:rsid w:val="009A7196"/>
    <w:rsid w:val="009E1A29"/>
    <w:rsid w:val="00B54A93"/>
    <w:rsid w:val="00BB4BD5"/>
    <w:rsid w:val="00BC486D"/>
    <w:rsid w:val="00BC4F7D"/>
    <w:rsid w:val="00D64823"/>
    <w:rsid w:val="00E246E4"/>
    <w:rsid w:val="00E63D99"/>
    <w:rsid w:val="00E67D06"/>
    <w:rsid w:val="00EF34D1"/>
    <w:rsid w:val="00FA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BACE"/>
  <w15:chartTrackingRefBased/>
  <w15:docId w15:val="{D8244622-74C7-4ABD-91EA-AB7F2B55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0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6383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 - Rute Isabel Rodrigues Pinto</dc:creator>
  <cp:keywords/>
  <dc:description/>
  <cp:lastModifiedBy>Nuno Silva</cp:lastModifiedBy>
  <cp:revision>3</cp:revision>
  <dcterms:created xsi:type="dcterms:W3CDTF">2020-05-25T19:36:00Z</dcterms:created>
  <dcterms:modified xsi:type="dcterms:W3CDTF">2020-05-26T13:36:00Z</dcterms:modified>
</cp:coreProperties>
</file>